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진료기록감정신청서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다음과 같이 진료기록감정촉탁을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입증취지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감정대상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피감정인명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성별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생년월일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5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주소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감정촉탁할 곳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감정할 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환자의 내원 당시 상태와 진단명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시행된 검사 · 처치 · 수술의 내용과 그 적응증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당시 의료수준에 비추어 요구되는 진료행위와 실제 진료행위의 차이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진료상의 과실이 인정되는지 여부와 그 근거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마.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현재 상태와 진료행위 사이의 인과관계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바.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후유장해의 부위 · 정도와 노동능력상실률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사.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향후 치료의 내용 · 기간과 그 비용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