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금융거래정보제출명령신청서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금융거래정보의 제출을 명하여 주실 것을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대상기관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명칭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명의인의 인적사항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개인 / 법인 / 임의단체 / 알 수 없음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주민등록번호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계좌의 특정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보유계좌 전체 / 보유계좌 지정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계좌번호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금융거래정보 조회유형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신원확인을 위한 인적정보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입출금거래내역 — 거래내역기간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계좌잔액정보 — 조회기준일자, 잔액기준(0원 · 30만원 · 50만원 · 100만원 · 150만원 이상)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계좌개설내역 — 개설기준일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사용목적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요구하는 거래정보의 내용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7.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특이사항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통보유예의 필요성 유무 — 유예기간과 유예사유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그 밖의 참고사항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8.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제1심의 증거조사와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신청유형 — 제1심에서의 증거신청 · 조사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제1심에서 조사된 증거조사 / 제1심에서 신청을 철회한 증거조사 / 제1심에서 신청이 기각된 증거조사 / 제1심에서 신청하지 않은 증거조사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항소심 조사 필요성의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