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신체감정촉탁신청서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다음과 같이 신체감정촉탁을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입증취지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감정대상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피감정인명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성별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생년월일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감정촉탁할 곳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감정할 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현재의 상해 부위와 병명, 치료 경과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기왕증의 유무와 이 사건 사고가 현재 상태에 기여한 정도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후유장해의 부위 · 내용과 그 정도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라.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노동능력상실률과 상실기간(적용 기준과 해당 항목, 직업계수를 함께 밝혀 주시기 바랍니다)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마.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향후 치료의 내용 · 기간과 그 비용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바.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개호의 필요 여부, 필요하다면 개호인의 수 · 기간과 그 비용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사.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보조구의 종류 · 수량과 교체주기 및 그 비용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아.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증상 고정 시기와 치료 종결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